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left"/>
      </w:pPr>
      <w:r>
        <w:rPr>
          <w:b/>
          <w:color w:val="1F6F6B"/>
          <w:sz w:val="40"/>
        </w:rPr>
        <w:t>Employee handbook — outline template</w:t>
      </w:r>
    </w:p>
    <w:p>
      <w:r>
        <w:rPr>
          <w:b/>
          <w:sz w:val="22"/>
        </w:rPr>
        <w:t>⚠ Important — read this first</w:t>
      </w:r>
    </w:p>
    <w:p>
      <w:r>
        <w:rPr>
          <w:i/>
          <w:sz w:val="22"/>
        </w:rPr>
        <w:t>WagePerks does not provide legal advice. This template is a starting point only. Before using it for an employee, review the wording with your solicitor or HR advisor, and update it for your specific role, industry, and circumstances. Last reviewed 2026-06-11 against gov.uk and Acas guidance.</w:t>
      </w:r>
    </w:p>
    <w:p/>
    <w:p>
      <w:r>
        <w:rPr>
          <w:sz w:val="22"/>
        </w:rPr>
        <w:t>Use this outline as the table of contents for your full handbook. Each numbered section becomes its own document or chapter. Where applicable, cross-references to UK statute or Acas guidance are noted.</w:t>
      </w:r>
    </w:p>
    <w:p/>
    <w:p>
      <w:r>
        <w:rPr>
          <w:b/>
          <w:color w:val="122B29"/>
          <w:sz w:val="26"/>
        </w:rPr>
        <w:t>1. Welcome to the company</w:t>
      </w:r>
    </w:p>
    <w:p>
      <w:pPr>
        <w:pStyle w:val="ListBullet"/>
      </w:pPr>
      <w:r>
        <w:t>Brief history and mission</w:t>
      </w:r>
    </w:p>
    <w:p>
      <w:pPr>
        <w:pStyle w:val="ListBullet"/>
      </w:pPr>
      <w:r>
        <w:t>Who's who — leadership and HR contact</w:t>
      </w:r>
    </w:p>
    <w:p>
      <w:pPr>
        <w:pStyle w:val="ListBullet"/>
      </w:pPr>
      <w:r>
        <w:t>How to use this handbook</w:t>
      </w:r>
    </w:p>
    <w:p>
      <w:r>
        <w:rPr>
          <w:b/>
          <w:color w:val="122B29"/>
          <w:sz w:val="26"/>
        </w:rPr>
        <w:t>2. Joining us — induction and probation</w:t>
      </w:r>
    </w:p>
    <w:p>
      <w:pPr>
        <w:pStyle w:val="ListBullet"/>
      </w:pPr>
      <w:r>
        <w:t>Induction checklist</w:t>
      </w:r>
    </w:p>
    <w:p>
      <w:pPr>
        <w:pStyle w:val="ListBullet"/>
      </w:pPr>
      <w:r>
        <w:t>Probation length and review process</w:t>
      </w:r>
    </w:p>
    <w:p>
      <w:pPr>
        <w:pStyle w:val="ListBullet"/>
      </w:pPr>
      <w:r>
        <w:t>Right-to-work check and ID requirements (Home Office Employer's Guide)</w:t>
      </w:r>
    </w:p>
    <w:p>
      <w:r>
        <w:rPr>
          <w:b/>
          <w:color w:val="122B29"/>
          <w:sz w:val="26"/>
        </w:rPr>
        <w:t>3. Pay and benefits</w:t>
      </w:r>
    </w:p>
    <w:p>
      <w:pPr>
        <w:pStyle w:val="ListBullet"/>
      </w:pPr>
      <w:r>
        <w:t>Pay frequency and pay slips</w:t>
      </w:r>
    </w:p>
    <w:p>
      <w:pPr>
        <w:pStyle w:val="ListBullet"/>
      </w:pPr>
      <w:r>
        <w:t>Pension auto-enrolment (Pensions Act 2008)</w:t>
      </w:r>
    </w:p>
    <w:p>
      <w:pPr>
        <w:pStyle w:val="ListBullet"/>
      </w:pPr>
      <w:r>
        <w:t>Benefits platform (link to WagePerks portal if applicable)</w:t>
      </w:r>
    </w:p>
    <w:p>
      <w:pPr>
        <w:pStyle w:val="ListBullet"/>
      </w:pPr>
      <w:r>
        <w:t>Expenses policy</w:t>
      </w:r>
    </w:p>
    <w:p>
      <w:r>
        <w:rPr>
          <w:b/>
          <w:color w:val="122B29"/>
          <w:sz w:val="26"/>
        </w:rPr>
        <w:t>4. Working time</w:t>
      </w:r>
    </w:p>
    <w:p>
      <w:pPr>
        <w:pStyle w:val="ListBullet"/>
      </w:pPr>
      <w:r>
        <w:t>Standard hours</w:t>
      </w:r>
    </w:p>
    <w:p>
      <w:pPr>
        <w:pStyle w:val="ListBullet"/>
      </w:pPr>
      <w:r>
        <w:t>Flexible / hybrid working</w:t>
      </w:r>
    </w:p>
    <w:p>
      <w:pPr>
        <w:pStyle w:val="ListBullet"/>
      </w:pPr>
      <w:r>
        <w:t>Time-off-in-lieu and overtime</w:t>
      </w:r>
    </w:p>
    <w:p>
      <w:pPr>
        <w:pStyle w:val="ListBullet"/>
      </w:pPr>
      <w:r>
        <w:t>Working Time Regulations 1998 limits</w:t>
      </w:r>
    </w:p>
    <w:p>
      <w:r>
        <w:rPr>
          <w:b/>
          <w:color w:val="122B29"/>
          <w:sz w:val="26"/>
        </w:rPr>
        <w:t>5. Holiday and other leave</w:t>
      </w:r>
    </w:p>
    <w:p>
      <w:pPr>
        <w:pStyle w:val="ListBullet"/>
      </w:pPr>
      <w:r>
        <w:t>Statutory holiday entitlement (5.6 weeks)</w:t>
      </w:r>
    </w:p>
    <w:p>
      <w:pPr>
        <w:pStyle w:val="ListBullet"/>
      </w:pPr>
      <w:r>
        <w:t>Booking holiday</w:t>
      </w:r>
    </w:p>
    <w:p>
      <w:pPr>
        <w:pStyle w:val="ListBullet"/>
      </w:pPr>
      <w:r>
        <w:t>Carry-over and pay-in-lieu</w:t>
      </w:r>
    </w:p>
    <w:p>
      <w:pPr>
        <w:pStyle w:val="ListBullet"/>
      </w:pPr>
      <w:r>
        <w:t>Parental leave, paternity, maternity, adoption (gov.uk)</w:t>
      </w:r>
    </w:p>
    <w:p>
      <w:pPr>
        <w:pStyle w:val="ListBullet"/>
      </w:pPr>
      <w:r>
        <w:t>Bereavement and compassionate leave</w:t>
      </w:r>
    </w:p>
    <w:p>
      <w:pPr>
        <w:pStyle w:val="ListBullet"/>
      </w:pPr>
      <w:r>
        <w:t>Time off for dependants (Employment Rights Act s.57A)</w:t>
      </w:r>
    </w:p>
    <w:p>
      <w:r>
        <w:rPr>
          <w:b/>
          <w:color w:val="122B29"/>
          <w:sz w:val="26"/>
        </w:rPr>
        <w:t>6. Sickness absence</w:t>
      </w:r>
    </w:p>
    <w:p>
      <w:pPr>
        <w:pStyle w:val="ListBullet"/>
      </w:pPr>
      <w:r>
        <w:t>Reporting absence</w:t>
      </w:r>
    </w:p>
    <w:p>
      <w:pPr>
        <w:pStyle w:val="ListBullet"/>
      </w:pPr>
      <w:r>
        <w:t>Self-certification and fit notes</w:t>
      </w:r>
    </w:p>
    <w:p>
      <w:pPr>
        <w:pStyle w:val="ListBullet"/>
      </w:pPr>
      <w:r>
        <w:t>Sick pay (SSP and contractual)</w:t>
      </w:r>
    </w:p>
    <w:p>
      <w:pPr>
        <w:pStyle w:val="ListBullet"/>
      </w:pPr>
      <w:r>
        <w:t>Return-to-work interviews</w:t>
      </w:r>
    </w:p>
    <w:p>
      <w:pPr>
        <w:pStyle w:val="ListBullet"/>
      </w:pPr>
      <w:r>
        <w:t>Long-term absence and occupational health</w:t>
      </w:r>
    </w:p>
    <w:p>
      <w:r>
        <w:rPr>
          <w:b/>
          <w:color w:val="122B29"/>
          <w:sz w:val="26"/>
        </w:rPr>
        <w:t>7. Health and safety</w:t>
      </w:r>
    </w:p>
    <w:p>
      <w:pPr>
        <w:pStyle w:val="ListBullet"/>
      </w:pPr>
      <w:r>
        <w:t>General duty of care (Health and Safety at Work etc. Act 1974)</w:t>
      </w:r>
    </w:p>
    <w:p>
      <w:pPr>
        <w:pStyle w:val="ListBullet"/>
      </w:pPr>
      <w:r>
        <w:t>Risk assessments</w:t>
      </w:r>
    </w:p>
    <w:p>
      <w:pPr>
        <w:pStyle w:val="ListBullet"/>
      </w:pPr>
      <w:r>
        <w:t>Display screen equipment</w:t>
      </w:r>
    </w:p>
    <w:p>
      <w:pPr>
        <w:pStyle w:val="ListBullet"/>
      </w:pPr>
      <w:r>
        <w:t>Lone working (HSE guidance)</w:t>
      </w:r>
    </w:p>
    <w:p>
      <w:pPr>
        <w:pStyle w:val="ListBullet"/>
      </w:pPr>
      <w:r>
        <w:t>First aid arrangements</w:t>
      </w:r>
    </w:p>
    <w:p>
      <w:r>
        <w:rPr>
          <w:b/>
          <w:color w:val="122B29"/>
          <w:sz w:val="26"/>
        </w:rPr>
        <w:t>8. Conduct and discipline</w:t>
      </w:r>
    </w:p>
    <w:p>
      <w:pPr>
        <w:pStyle w:val="ListBullet"/>
      </w:pPr>
      <w:r>
        <w:t>Standards of conduct</w:t>
      </w:r>
    </w:p>
    <w:p>
      <w:pPr>
        <w:pStyle w:val="ListBullet"/>
      </w:pPr>
      <w:r>
        <w:t>Acas Code of Practice on Disciplinary and Grievance Procedures</w:t>
      </w:r>
    </w:p>
    <w:p>
      <w:pPr>
        <w:pStyle w:val="ListBullet"/>
      </w:pPr>
      <w:r>
        <w:t>Investigation and hearing process</w:t>
      </w:r>
    </w:p>
    <w:p>
      <w:pPr>
        <w:pStyle w:val="ListBullet"/>
      </w:pPr>
      <w:r>
        <w:t>Right of appeal</w:t>
      </w:r>
    </w:p>
    <w:p>
      <w:r>
        <w:rPr>
          <w:b/>
          <w:color w:val="122B29"/>
          <w:sz w:val="26"/>
        </w:rPr>
        <w:t>9. Grievance</w:t>
      </w:r>
    </w:p>
    <w:p>
      <w:pPr>
        <w:pStyle w:val="ListBullet"/>
      </w:pPr>
      <w:r>
        <w:t>Informal route</w:t>
      </w:r>
    </w:p>
    <w:p>
      <w:pPr>
        <w:pStyle w:val="ListBullet"/>
      </w:pPr>
      <w:r>
        <w:t>Formal grievance</w:t>
      </w:r>
    </w:p>
    <w:p>
      <w:pPr>
        <w:pStyle w:val="ListBullet"/>
      </w:pPr>
      <w:r>
        <w:t>Mediation</w:t>
      </w:r>
    </w:p>
    <w:p>
      <w:pPr>
        <w:pStyle w:val="ListBullet"/>
      </w:pPr>
      <w:r>
        <w:t>Whistleblowing (Public Interest Disclosure Act 1998)</w:t>
      </w:r>
    </w:p>
    <w:p>
      <w:r>
        <w:rPr>
          <w:b/>
          <w:color w:val="122B29"/>
          <w:sz w:val="26"/>
        </w:rPr>
        <w:t>10. Equality, diversity and inclusion</w:t>
      </w:r>
    </w:p>
    <w:p>
      <w:pPr>
        <w:pStyle w:val="ListBullet"/>
      </w:pPr>
      <w:r>
        <w:t>Equality Act 2010 — protected characteristics</w:t>
      </w:r>
    </w:p>
    <w:p>
      <w:pPr>
        <w:pStyle w:val="ListBullet"/>
      </w:pPr>
      <w:r>
        <w:t>Reasonable adjustments (s.20)</w:t>
      </w:r>
    </w:p>
    <w:p>
      <w:pPr>
        <w:pStyle w:val="ListBullet"/>
      </w:pPr>
      <w:r>
        <w:t>Harassment and bullying — policy and reporting route</w:t>
      </w:r>
    </w:p>
    <w:p>
      <w:r>
        <w:rPr>
          <w:b/>
          <w:color w:val="122B29"/>
          <w:sz w:val="26"/>
        </w:rPr>
        <w:t>11. Data protection and IT</w:t>
      </w:r>
    </w:p>
    <w:p>
      <w:pPr>
        <w:pStyle w:val="ListBullet"/>
      </w:pPr>
      <w:r>
        <w:t>UK GDPR and Data Protection Act 2018</w:t>
      </w:r>
    </w:p>
    <w:p>
      <w:pPr>
        <w:pStyle w:val="ListBullet"/>
      </w:pPr>
      <w:r>
        <w:t>Acceptable use of company IT</w:t>
      </w:r>
    </w:p>
    <w:p>
      <w:pPr>
        <w:pStyle w:val="ListBullet"/>
      </w:pPr>
      <w:r>
        <w:t>Bring-your-own-device policy</w:t>
      </w:r>
    </w:p>
    <w:p>
      <w:pPr>
        <w:pStyle w:val="ListBullet"/>
      </w:pPr>
      <w:r>
        <w:t>Monitoring of workers (ICO guidance)</w:t>
      </w:r>
    </w:p>
    <w:p>
      <w:r>
        <w:rPr>
          <w:b/>
          <w:color w:val="122B29"/>
          <w:sz w:val="26"/>
        </w:rPr>
        <w:t>12. Confidentiality and intellectual property</w:t>
      </w:r>
    </w:p>
    <w:p>
      <w:pPr>
        <w:pStyle w:val="ListBullet"/>
      </w:pPr>
      <w:r>
        <w:t>Employee duty of confidence</w:t>
      </w:r>
    </w:p>
    <w:p>
      <w:pPr>
        <w:pStyle w:val="ListBullet"/>
      </w:pPr>
      <w:r>
        <w:t>Ownership of work product</w:t>
      </w:r>
    </w:p>
    <w:p>
      <w:r>
        <w:rPr>
          <w:b/>
          <w:color w:val="122B29"/>
          <w:sz w:val="26"/>
        </w:rPr>
        <w:t>13. Leaving the company</w:t>
      </w:r>
    </w:p>
    <w:p>
      <w:pPr>
        <w:pStyle w:val="ListBullet"/>
      </w:pPr>
      <w:r>
        <w:t>Notice periods</w:t>
      </w:r>
    </w:p>
    <w:p>
      <w:pPr>
        <w:pStyle w:val="ListBullet"/>
      </w:pPr>
      <w:r>
        <w:t>Final pay and accrued holiday</w:t>
      </w:r>
    </w:p>
    <w:p>
      <w:pPr>
        <w:pStyle w:val="ListBullet"/>
      </w:pPr>
      <w:r>
        <w:t>Return of company property</w:t>
      </w:r>
    </w:p>
    <w:p>
      <w:pPr>
        <w:pStyle w:val="ListBullet"/>
      </w:pPr>
      <w:r>
        <w:t>Exit interviews</w:t>
      </w:r>
    </w:p>
    <w:p>
      <w:r>
        <w:rPr>
          <w:b/>
          <w:color w:val="122B29"/>
          <w:sz w:val="26"/>
        </w:rPr>
        <w:t>14. Policy library</w:t>
      </w:r>
    </w:p>
    <w:p>
      <w:pPr>
        <w:pStyle w:val="ListBullet"/>
      </w:pPr>
      <w:r>
        <w:t>Absence policy</w:t>
      </w:r>
    </w:p>
    <w:p>
      <w:pPr>
        <w:pStyle w:val="ListBullet"/>
      </w:pPr>
      <w:r>
        <w:t>Disciplinary policy</w:t>
      </w:r>
    </w:p>
    <w:p>
      <w:pPr>
        <w:pStyle w:val="ListBullet"/>
      </w:pPr>
      <w:r>
        <w:t>Grievance policy</w:t>
      </w:r>
    </w:p>
    <w:p>
      <w:pPr>
        <w:pStyle w:val="ListBullet"/>
      </w:pPr>
      <w:r>
        <w:t>Anti-bribery policy (Bribery Act 2010)</w:t>
      </w:r>
    </w:p>
    <w:p>
      <w:pPr>
        <w:pStyle w:val="ListBullet"/>
      </w:pPr>
      <w:r>
        <w:t>Anti-modern-slavery statement (Modern Slavery Act 2015)</w:t>
      </w:r>
    </w:p>
    <w:p>
      <w:pPr>
        <w:pStyle w:val="ListBullet"/>
      </w:pPr>
      <w:r>
        <w:t>Data retention policy</w:t>
      </w:r>
    </w:p>
    <w:p>
      <w:r>
        <w:rPr>
          <w:b/>
          <w:color w:val="122B29"/>
          <w:sz w:val="26"/>
        </w:rPr>
        <w:t>Handbook control</w:t>
      </w:r>
    </w:p>
    <w:p>
      <w:r>
        <w:rPr>
          <w:b/>
          <w:sz w:val="22"/>
        </w:rPr>
        <w:t xml:space="preserve">Version: </w:t>
      </w:r>
      <w:r>
        <w:rPr>
          <w:sz w:val="22"/>
        </w:rPr>
        <w:t>____________________________________________________________</w:t>
      </w:r>
    </w:p>
    <w:p>
      <w:r>
        <w:rPr>
          <w:b/>
          <w:sz w:val="22"/>
        </w:rPr>
        <w:t xml:space="preserve">Effective from: </w:t>
      </w:r>
      <w:r>
        <w:rPr>
          <w:sz w:val="22"/>
        </w:rPr>
        <w:t>____________________________________________________________</w:t>
      </w:r>
    </w:p>
    <w:p>
      <w:r>
        <w:rPr>
          <w:b/>
          <w:sz w:val="22"/>
        </w:rPr>
        <w:t xml:space="preserve">Owner: </w:t>
      </w:r>
      <w:r>
        <w:rPr>
          <w:sz w:val="22"/>
        </w:rPr>
        <w:t>____________________________________________________________</w:t>
      </w:r>
    </w:p>
    <w:p>
      <w:r>
        <w:rPr>
          <w:b/>
          <w:sz w:val="22"/>
        </w:rPr>
        <w:t xml:space="preserve">Next review due: </w:t>
      </w:r>
      <w:r>
        <w:rPr>
          <w:sz w:val="22"/>
        </w:rPr>
        <w:t>____________________________________________________________</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