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6F6B"/>
          <w:sz w:val="40"/>
        </w:rPr>
        <w:t>Absence policy — starter template</w:t>
      </w:r>
    </w:p>
    <w:p>
      <w:r>
        <w:rPr>
          <w:b/>
          <w:sz w:val="22"/>
        </w:rPr>
        <w:t>⚠ Important — read this first</w:t>
      </w:r>
    </w:p>
    <w:p>
      <w:r>
        <w:rPr>
          <w:i/>
          <w:sz w:val="22"/>
        </w:rPr>
        <w:t>WagePerks does not provide legal advice. This template is a starting point only. Before using it for an employee, review the wording with your solicitor or HR advisor, and update it for your specific role, industry, and circumstances. Last reviewed 2026-06-11 against gov.uk and Acas guidance.</w:t>
      </w:r>
    </w:p>
    <w:p/>
    <w:p>
      <w:r>
        <w:rPr>
          <w:sz w:val="22"/>
        </w:rPr>
        <w:t>This template mirrors the structure of the Acas absence policy guide. It is a starting point — your final policy should reflect your industry, headcount, and any collective agreement.</w:t>
      </w:r>
    </w:p>
    <w:p/>
    <w:p>
      <w:r>
        <w:rPr>
          <w:b/>
          <w:color w:val="122B29"/>
          <w:sz w:val="26"/>
        </w:rPr>
        <w:t>1. Purpose and scope</w:t>
      </w:r>
    </w:p>
    <w:p>
      <w:r>
        <w:rPr>
          <w:sz w:val="22"/>
        </w:rPr>
        <w:t>This policy sets out how the employer manages employee absence from work, including sickness absence, time off for dependants, and other authorised absence. It applies to all employees and workers.</w:t>
      </w:r>
    </w:p>
    <w:p>
      <w:r>
        <w:rPr>
          <w:b/>
          <w:color w:val="122B29"/>
          <w:sz w:val="26"/>
        </w:rPr>
        <w:t>2. Reporting absence</w:t>
      </w:r>
    </w:p>
    <w:p>
      <w:pPr>
        <w:pStyle w:val="ListBullet"/>
      </w:pPr>
      <w:r>
        <w:t>The employee must notify their line manager by [09:30] on the first day of any unplanned absence.</w:t>
      </w:r>
    </w:p>
    <w:p>
      <w:pPr>
        <w:pStyle w:val="ListBullet"/>
      </w:pPr>
      <w:r>
        <w:t>Where possible, the employee should call, not text.</w:t>
      </w:r>
    </w:p>
    <w:p>
      <w:pPr>
        <w:pStyle w:val="ListBullet"/>
      </w:pPr>
      <w:r>
        <w:t>The employee must say when they expect to return.</w:t>
      </w:r>
    </w:p>
    <w:p>
      <w:pPr>
        <w:pStyle w:val="ListBullet"/>
      </w:pPr>
      <w:r>
        <w:t>The employee must keep their line manager updated daily until they return or provide a fit note.</w:t>
      </w:r>
    </w:p>
    <w:p>
      <w:r>
        <w:rPr>
          <w:b/>
          <w:color w:val="122B29"/>
          <w:sz w:val="26"/>
        </w:rPr>
        <w:t>3. Self-certification and fit notes</w:t>
      </w:r>
    </w:p>
    <w:p>
      <w:r>
        <w:rPr>
          <w:sz w:val="22"/>
        </w:rPr>
        <w:t>Up to 7 calendar days of sickness absence is self-certified using the employer's self-certification form. From day 8, the employee must provide a fit note from a GP, physiotherapist, occupational therapist, registered pharmacist, or registered nurse (gov.uk fit note rules).</w:t>
      </w:r>
    </w:p>
    <w:p>
      <w:r>
        <w:rPr>
          <w:b/>
          <w:color w:val="122B29"/>
          <w:sz w:val="26"/>
        </w:rPr>
        <w:t>4. Sick pay</w:t>
      </w:r>
    </w:p>
    <w:p>
      <w:pPr>
        <w:pStyle w:val="ListBullet"/>
      </w:pPr>
      <w:r>
        <w:t>Statutory Sick Pay (SSP) applies in accordance with gov.uk rules.</w:t>
      </w:r>
    </w:p>
    <w:p>
      <w:pPr>
        <w:pStyle w:val="ListBullet"/>
      </w:pPr>
      <w:r>
        <w:t>Contractual sick pay (if any) is set out in the individual employment contract.</w:t>
      </w:r>
    </w:p>
    <w:p>
      <w:r>
        <w:rPr>
          <w:b/>
          <w:color w:val="122B29"/>
          <w:sz w:val="26"/>
        </w:rPr>
        <w:t>5. Return-to-work interviews</w:t>
      </w:r>
    </w:p>
    <w:p>
      <w:r>
        <w:rPr>
          <w:sz w:val="22"/>
        </w:rPr>
        <w:t>Every absence triggers a return-to-work interview with the line manager. The interview uses the employer's Return-to-Work Form. A signed copy goes to HR.</w:t>
      </w:r>
    </w:p>
    <w:p>
      <w:r>
        <w:rPr>
          <w:b/>
          <w:color w:val="122B29"/>
          <w:sz w:val="26"/>
        </w:rPr>
        <w:t>6. Absence triggers and the Bradford Factor</w:t>
      </w:r>
    </w:p>
    <w:p>
      <w:r>
        <w:rPr>
          <w:sz w:val="22"/>
        </w:rPr>
        <w:t>Patterns of frequent short absence may trigger a formal review. Some employers use the Bradford Factor (Spells² × Days, rolling 12 months) as one indicator — it is not a statutory test and must not be applied mechanically where Equality Act 2010 considerations apply (e.g. disability-related absence).</w:t>
      </w:r>
    </w:p>
    <w:p>
      <w:r>
        <w:rPr>
          <w:b/>
          <w:color w:val="122B29"/>
          <w:sz w:val="26"/>
        </w:rPr>
        <w:t>7. Long-term sickness absence</w:t>
      </w:r>
    </w:p>
    <w:p>
      <w:r>
        <w:rPr>
          <w:sz w:val="22"/>
        </w:rPr>
        <w:t>Where an employee is absent for more than 4 weeks, the line manager will arrange a welfare meeting. The employer may seek occupational health input and, where appropriate, will consider reasonable adjustments under Equality Act 2010 s.20.</w:t>
      </w:r>
    </w:p>
    <w:p>
      <w:r>
        <w:rPr>
          <w:b/>
          <w:color w:val="122B29"/>
          <w:sz w:val="26"/>
        </w:rPr>
        <w:t>8. Time off for dependants</w:t>
      </w:r>
    </w:p>
    <w:p>
      <w:r>
        <w:rPr>
          <w:sz w:val="22"/>
        </w:rPr>
        <w:t>A reasonable amount of unpaid time off to deal with emergencies involving a dependant is available under Employment Rights Act 1996 s.57A.</w:t>
      </w:r>
    </w:p>
    <w:p>
      <w:r>
        <w:rPr>
          <w:b/>
          <w:color w:val="122B29"/>
          <w:sz w:val="26"/>
        </w:rPr>
        <w:t>9. Other authorised absence</w:t>
      </w:r>
    </w:p>
    <w:p>
      <w:pPr>
        <w:pStyle w:val="ListBullet"/>
      </w:pPr>
      <w:r>
        <w:t>Compassionate leave: at the employer's discretion.</w:t>
      </w:r>
    </w:p>
    <w:p>
      <w:pPr>
        <w:pStyle w:val="ListBullet"/>
      </w:pPr>
      <w:r>
        <w:t>Bereavement leave: in accordance with the bereavement-leave policy.</w:t>
      </w:r>
    </w:p>
    <w:p>
      <w:pPr>
        <w:pStyle w:val="ListBullet"/>
      </w:pPr>
      <w:r>
        <w:t>Jury service: the employee will be released; SSP rules apply.</w:t>
      </w:r>
    </w:p>
    <w:p>
      <w:pPr>
        <w:pStyle w:val="ListBullet"/>
      </w:pPr>
      <w:r>
        <w:t>Public duties: as required by Employment Rights Act 1996 s.50.</w:t>
      </w:r>
    </w:p>
    <w:p>
      <w:r>
        <w:rPr>
          <w:b/>
          <w:color w:val="122B29"/>
          <w:sz w:val="26"/>
        </w:rPr>
        <w:t>10. Disciplinary consequences</w:t>
      </w:r>
    </w:p>
    <w:p>
      <w:r>
        <w:rPr>
          <w:sz w:val="22"/>
        </w:rPr>
        <w:t>Unauthorised absence may be treated as a disciplinary matter under the Acas Code of Practice on Disciplinary and Grievance Procedures.</w:t>
      </w:r>
    </w:p>
    <w:p>
      <w:r>
        <w:rPr>
          <w:b/>
          <w:color w:val="122B29"/>
          <w:sz w:val="26"/>
        </w:rPr>
        <w:t>Policy review</w:t>
      </w:r>
    </w:p>
    <w:p>
      <w:r>
        <w:rPr>
          <w:b/>
          <w:sz w:val="22"/>
        </w:rPr>
        <w:t xml:space="preserve">This policy was reviewed on: </w:t>
      </w:r>
      <w:r>
        <w:rPr>
          <w:sz w:val="22"/>
        </w:rPr>
        <w:t>____________________________________________________________</w:t>
      </w:r>
    </w:p>
    <w:p>
      <w:r>
        <w:rPr>
          <w:b/>
          <w:sz w:val="22"/>
        </w:rPr>
        <w:t xml:space="preserve">Next review due: </w:t>
      </w:r>
      <w:r>
        <w:rPr>
          <w:sz w:val="22"/>
        </w:rPr>
        <w:t>____________________________________________________________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